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F" w:rsidRDefault="003867EF" w:rsidP="00B5288D">
      <w:pPr>
        <w:spacing w:line="240" w:lineRule="auto"/>
        <w:rPr>
          <w:b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524F80F" wp14:editId="564D49A4">
            <wp:extent cx="5943600" cy="684530"/>
            <wp:effectExtent l="0" t="0" r="0" b="1270"/>
            <wp:docPr id="1" name="Picture 1" descr="P:\_coe-settings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_coe-settings\desktop\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EF" w:rsidRDefault="003867EF" w:rsidP="003867EF">
      <w:pPr>
        <w:spacing w:line="240" w:lineRule="auto"/>
        <w:jc w:val="center"/>
        <w:rPr>
          <w:b/>
          <w:sz w:val="32"/>
          <w:szCs w:val="32"/>
          <w:lang w:val="en-GB"/>
        </w:rPr>
      </w:pPr>
    </w:p>
    <w:p w:rsidR="0039456D" w:rsidRDefault="00CA2020" w:rsidP="003867EF">
      <w:pPr>
        <w:spacing w:line="240" w:lineRule="auto"/>
        <w:jc w:val="center"/>
        <w:rPr>
          <w:b/>
          <w:sz w:val="32"/>
          <w:szCs w:val="32"/>
          <w:lang w:val="en-GB"/>
        </w:rPr>
      </w:pPr>
      <w:r w:rsidRPr="003867EF">
        <w:rPr>
          <w:b/>
          <w:sz w:val="32"/>
          <w:szCs w:val="32"/>
          <w:lang w:val="en-GB"/>
        </w:rPr>
        <w:t>2017 HELP Network Conference</w:t>
      </w:r>
    </w:p>
    <w:p w:rsidR="00333457" w:rsidRPr="00333457" w:rsidRDefault="00333457" w:rsidP="003867EF">
      <w:pPr>
        <w:spacing w:line="240" w:lineRule="auto"/>
        <w:jc w:val="center"/>
        <w:rPr>
          <w:sz w:val="32"/>
          <w:szCs w:val="32"/>
          <w:lang w:val="en-GB"/>
        </w:rPr>
      </w:pPr>
      <w:r w:rsidRPr="00333457">
        <w:rPr>
          <w:sz w:val="32"/>
          <w:szCs w:val="32"/>
          <w:lang w:val="en-GB"/>
        </w:rPr>
        <w:t>Information note</w:t>
      </w:r>
    </w:p>
    <w:p w:rsidR="00E17213" w:rsidRDefault="00CA2020" w:rsidP="00B5288D">
      <w:pPr>
        <w:spacing w:before="100" w:beforeAutospacing="1" w:after="100" w:afterAutospacing="1" w:line="240" w:lineRule="auto"/>
        <w:jc w:val="both"/>
        <w:rPr>
          <w:b/>
          <w:lang w:val="en-GB"/>
        </w:rPr>
      </w:pPr>
      <w:r w:rsidRPr="00B5288D">
        <w:rPr>
          <w:lang w:val="en-GB"/>
        </w:rPr>
        <w:t xml:space="preserve">The </w:t>
      </w:r>
      <w:r w:rsidR="00E17213">
        <w:rPr>
          <w:lang w:val="en-GB"/>
        </w:rPr>
        <w:t xml:space="preserve">Annual Conference of the </w:t>
      </w:r>
      <w:r w:rsidR="00E17213" w:rsidRPr="00D53F5C">
        <w:rPr>
          <w:lang w:val="en-GB"/>
        </w:rPr>
        <w:t xml:space="preserve">Human Rights Education for Legal Professionals (HELP) </w:t>
      </w:r>
      <w:r w:rsidR="00E17213">
        <w:rPr>
          <w:lang w:val="en-GB"/>
        </w:rPr>
        <w:t xml:space="preserve">Programme of the Council of Europe </w:t>
      </w:r>
      <w:r w:rsidRPr="00B5288D">
        <w:rPr>
          <w:lang w:val="en-GB"/>
        </w:rPr>
        <w:t xml:space="preserve">will take place in Strasbourg on </w:t>
      </w:r>
      <w:r w:rsidRPr="00B5288D">
        <w:rPr>
          <w:b/>
          <w:lang w:val="en-GB"/>
        </w:rPr>
        <w:t xml:space="preserve">19 – 20 June. </w:t>
      </w:r>
    </w:p>
    <w:p w:rsidR="003867EF" w:rsidRDefault="003867EF" w:rsidP="00B5288D">
      <w:pPr>
        <w:spacing w:before="100" w:beforeAutospacing="1" w:after="100" w:afterAutospacing="1" w:line="240" w:lineRule="auto"/>
        <w:jc w:val="both"/>
        <w:rPr>
          <w:b/>
          <w:lang w:val="en-GB"/>
        </w:rPr>
      </w:pPr>
      <w:r>
        <w:rPr>
          <w:b/>
          <w:lang w:val="en-GB"/>
        </w:rPr>
        <w:t>What is HELP?</w:t>
      </w:r>
    </w:p>
    <w:p w:rsidR="003867EF" w:rsidRPr="003867EF" w:rsidRDefault="003867EF" w:rsidP="003867EF">
      <w:pPr>
        <w:pStyle w:val="NormalWeb"/>
        <w:jc w:val="both"/>
        <w:rPr>
          <w:rFonts w:asciiTheme="minorHAnsi" w:hAnsiTheme="minorHAnsi"/>
          <w:sz w:val="22"/>
          <w:szCs w:val="22"/>
          <w:lang w:val="en-GB"/>
        </w:rPr>
      </w:pPr>
      <w:r w:rsidRPr="003867EF">
        <w:rPr>
          <w:rFonts w:asciiTheme="minorHAnsi" w:hAnsiTheme="minorHAnsi"/>
          <w:sz w:val="22"/>
          <w:szCs w:val="22"/>
          <w:lang w:val="en-GB"/>
        </w:rPr>
        <w:t>The European Programme for Human Rights Education for Legal Professionals (</w:t>
      </w:r>
      <w:hyperlink r:id="rId7" w:history="1">
        <w:r w:rsidRPr="00076981">
          <w:rPr>
            <w:rStyle w:val="Hyperlink"/>
            <w:rFonts w:asciiTheme="minorHAnsi" w:hAnsiTheme="minorHAnsi"/>
            <w:sz w:val="22"/>
            <w:szCs w:val="22"/>
            <w:lang w:val="en-GB"/>
          </w:rPr>
          <w:t>HELP</w:t>
        </w:r>
      </w:hyperlink>
      <w:r w:rsidRPr="003867EF">
        <w:rPr>
          <w:rFonts w:asciiTheme="minorHAnsi" w:hAnsiTheme="minorHAnsi"/>
          <w:sz w:val="22"/>
          <w:szCs w:val="22"/>
          <w:lang w:val="en-GB"/>
        </w:rPr>
        <w:t xml:space="preserve">) supports the Council of Europe member </w:t>
      </w:r>
      <w:r w:rsidRPr="00076981">
        <w:rPr>
          <w:rFonts w:asciiTheme="minorHAnsi" w:hAnsiTheme="minorHAnsi"/>
          <w:sz w:val="22"/>
          <w:szCs w:val="22"/>
          <w:lang w:val="en-GB"/>
        </w:rPr>
        <w:t xml:space="preserve">states in </w:t>
      </w:r>
      <w:r w:rsidRPr="00076981">
        <w:rPr>
          <w:rStyle w:val="Strong"/>
          <w:rFonts w:asciiTheme="minorHAnsi" w:hAnsiTheme="minorHAnsi"/>
          <w:b w:val="0"/>
          <w:sz w:val="22"/>
          <w:szCs w:val="22"/>
          <w:lang w:val="en-GB"/>
        </w:rPr>
        <w:t xml:space="preserve">implementing the European Convention on Human Rights </w:t>
      </w:r>
      <w:r w:rsidRPr="00076981">
        <w:rPr>
          <w:rFonts w:asciiTheme="minorHAnsi" w:hAnsiTheme="minorHAnsi"/>
          <w:sz w:val="22"/>
          <w:szCs w:val="22"/>
          <w:lang w:val="en-GB"/>
        </w:rPr>
        <w:t>(ECHR)</w:t>
      </w:r>
      <w:r w:rsidRPr="00076981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076981">
        <w:rPr>
          <w:rStyle w:val="Strong"/>
          <w:rFonts w:asciiTheme="minorHAnsi" w:hAnsiTheme="minorHAnsi"/>
          <w:b w:val="0"/>
          <w:sz w:val="22"/>
          <w:szCs w:val="22"/>
          <w:lang w:val="en-GB"/>
        </w:rPr>
        <w:t>at the national level</w:t>
      </w:r>
      <w:r w:rsidRPr="003867EF">
        <w:rPr>
          <w:rFonts w:asciiTheme="minorHAnsi" w:hAnsiTheme="minorHAnsi"/>
          <w:sz w:val="22"/>
          <w:szCs w:val="22"/>
          <w:lang w:val="en-GB"/>
        </w:rPr>
        <w:t>.</w:t>
      </w:r>
    </w:p>
    <w:p w:rsidR="003867EF" w:rsidRDefault="003867EF" w:rsidP="00076981">
      <w:pPr>
        <w:pStyle w:val="NormalWeb"/>
        <w:jc w:val="both"/>
        <w:rPr>
          <w:rFonts w:asciiTheme="minorHAnsi" w:hAnsiTheme="minorHAnsi"/>
          <w:sz w:val="22"/>
          <w:szCs w:val="22"/>
          <w:lang w:val="en-GB"/>
        </w:rPr>
      </w:pPr>
      <w:r w:rsidRPr="003867EF">
        <w:rPr>
          <w:rFonts w:asciiTheme="minorHAnsi" w:hAnsiTheme="minorHAnsi"/>
          <w:sz w:val="22"/>
          <w:szCs w:val="22"/>
          <w:lang w:val="en-GB"/>
        </w:rPr>
        <w:t>This is done by enhancing the capacity of judges, lawyers and prosecutors in all 47 member states to apply the ECHR in their daily work</w:t>
      </w:r>
      <w:r w:rsidR="004E31F0">
        <w:rPr>
          <w:rFonts w:asciiTheme="minorHAnsi" w:hAnsiTheme="minorHAnsi"/>
          <w:sz w:val="22"/>
          <w:szCs w:val="22"/>
          <w:lang w:val="en-GB"/>
        </w:rPr>
        <w:t xml:space="preserve"> mainly through training</w:t>
      </w:r>
      <w:r w:rsidRPr="003867EF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076981">
        <w:rPr>
          <w:rFonts w:asciiTheme="minorHAnsi" w:hAnsiTheme="minorHAnsi"/>
          <w:sz w:val="22"/>
          <w:szCs w:val="22"/>
          <w:lang w:val="en-GB"/>
        </w:rPr>
        <w:t>L</w:t>
      </w:r>
      <w:r w:rsidRPr="00076981">
        <w:rPr>
          <w:rStyle w:val="Strong"/>
          <w:rFonts w:asciiTheme="minorHAnsi" w:hAnsiTheme="minorHAnsi"/>
          <w:b w:val="0"/>
          <w:sz w:val="22"/>
          <w:szCs w:val="22"/>
          <w:lang w:val="en-GB"/>
        </w:rPr>
        <w:t>egal professionals, who are at the forefront of the protection of human rights, must benefit from high-quality training</w:t>
      </w:r>
      <w:r w:rsidR="00076981">
        <w:rPr>
          <w:rFonts w:asciiTheme="minorHAnsi" w:hAnsiTheme="minorHAnsi"/>
          <w:sz w:val="22"/>
          <w:szCs w:val="22"/>
          <w:lang w:val="en-GB"/>
        </w:rPr>
        <w:t>.</w:t>
      </w:r>
      <w:r w:rsidRPr="003867EF">
        <w:rPr>
          <w:rFonts w:asciiTheme="minorHAnsi" w:hAnsiTheme="minorHAnsi"/>
          <w:sz w:val="22"/>
          <w:szCs w:val="22"/>
          <w:lang w:val="en-GB"/>
        </w:rPr>
        <w:t xml:space="preserve"> HELP aims </w:t>
      </w:r>
      <w:r w:rsidR="009D563D" w:rsidRPr="003867EF">
        <w:rPr>
          <w:rFonts w:asciiTheme="minorHAnsi" w:hAnsiTheme="minorHAnsi"/>
          <w:sz w:val="22"/>
          <w:szCs w:val="22"/>
          <w:lang w:val="en-GB"/>
        </w:rPr>
        <w:t xml:space="preserve">precisely </w:t>
      </w:r>
      <w:r w:rsidRPr="003867EF">
        <w:rPr>
          <w:rFonts w:asciiTheme="minorHAnsi" w:hAnsiTheme="minorHAnsi"/>
          <w:sz w:val="22"/>
          <w:szCs w:val="22"/>
          <w:lang w:val="en-GB"/>
        </w:rPr>
        <w:t xml:space="preserve">at providing high-quality and tailor-made </w:t>
      </w:r>
      <w:hyperlink r:id="rId8" w:history="1">
        <w:r w:rsidR="00076981" w:rsidRPr="00076981">
          <w:rPr>
            <w:rStyle w:val="Hyperlink"/>
            <w:rFonts w:asciiTheme="minorHAnsi" w:hAnsiTheme="minorHAnsi"/>
            <w:sz w:val="22"/>
            <w:szCs w:val="22"/>
            <w:lang w:val="en-GB"/>
          </w:rPr>
          <w:t>courses</w:t>
        </w:r>
      </w:hyperlink>
      <w:r w:rsidRPr="003867EF">
        <w:rPr>
          <w:rFonts w:asciiTheme="minorHAnsi" w:hAnsiTheme="minorHAnsi"/>
          <w:sz w:val="22"/>
          <w:szCs w:val="22"/>
          <w:lang w:val="en-GB"/>
        </w:rPr>
        <w:t xml:space="preserve"> to </w:t>
      </w:r>
      <w:r w:rsidR="00076981">
        <w:rPr>
          <w:rFonts w:asciiTheme="minorHAnsi" w:hAnsiTheme="minorHAnsi"/>
          <w:sz w:val="22"/>
          <w:szCs w:val="22"/>
          <w:lang w:val="en-GB"/>
        </w:rPr>
        <w:t>the</w:t>
      </w:r>
      <w:r w:rsidRPr="003867EF">
        <w:rPr>
          <w:rFonts w:asciiTheme="minorHAnsi" w:hAnsiTheme="minorHAnsi"/>
          <w:sz w:val="22"/>
          <w:szCs w:val="22"/>
          <w:lang w:val="en-GB"/>
        </w:rPr>
        <w:t xml:space="preserve"> European legal professionals.</w:t>
      </w:r>
      <w:r w:rsidR="004E31F0">
        <w:rPr>
          <w:rFonts w:asciiTheme="minorHAnsi" w:hAnsiTheme="minorHAnsi"/>
          <w:sz w:val="22"/>
          <w:szCs w:val="22"/>
          <w:lang w:val="en-GB"/>
        </w:rPr>
        <w:t xml:space="preserve"> Courses deal with topical human rights issues, such as anti-discrimination, data protection, asylum, property rights, </w:t>
      </w:r>
      <w:proofErr w:type="gramStart"/>
      <w:r w:rsidR="004E31F0">
        <w:rPr>
          <w:rFonts w:asciiTheme="minorHAnsi" w:hAnsiTheme="minorHAnsi"/>
          <w:sz w:val="22"/>
          <w:szCs w:val="22"/>
          <w:lang w:val="en-GB"/>
        </w:rPr>
        <w:t>violence</w:t>
      </w:r>
      <w:proofErr w:type="gramEnd"/>
      <w:r w:rsidR="004E31F0">
        <w:rPr>
          <w:rFonts w:asciiTheme="minorHAnsi" w:hAnsiTheme="minorHAnsi"/>
          <w:sz w:val="22"/>
          <w:szCs w:val="22"/>
          <w:lang w:val="en-GB"/>
        </w:rPr>
        <w:t xml:space="preserve"> against women or children’s rights. </w:t>
      </w:r>
    </w:p>
    <w:p w:rsidR="00F300AF" w:rsidRPr="00F300AF" w:rsidRDefault="00F300AF" w:rsidP="00076981">
      <w:pPr>
        <w:pStyle w:val="NormalWeb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F300AF">
        <w:rPr>
          <w:rFonts w:asciiTheme="minorHAnsi" w:hAnsiTheme="minorHAnsi"/>
          <w:b/>
          <w:sz w:val="22"/>
          <w:szCs w:val="22"/>
          <w:lang w:val="en-GB"/>
        </w:rPr>
        <w:t>What is the HELP Annual Network Conference?</w:t>
      </w:r>
    </w:p>
    <w:p w:rsidR="00B5288D" w:rsidRPr="00B5288D" w:rsidRDefault="00B5288D" w:rsidP="00B5288D">
      <w:pPr>
        <w:pStyle w:val="Default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B5288D">
        <w:rPr>
          <w:rFonts w:asciiTheme="minorHAnsi" w:hAnsiTheme="minorHAnsi"/>
          <w:sz w:val="22"/>
          <w:szCs w:val="22"/>
        </w:rPr>
        <w:t xml:space="preserve">The </w:t>
      </w:r>
      <w:hyperlink r:id="rId9" w:history="1">
        <w:r w:rsidRPr="00C12F64">
          <w:rPr>
            <w:rStyle w:val="Hyperlink"/>
            <w:rFonts w:asciiTheme="minorHAnsi" w:hAnsiTheme="minorHAnsi"/>
            <w:sz w:val="22"/>
            <w:szCs w:val="22"/>
          </w:rPr>
          <w:t>HELP Network</w:t>
        </w:r>
      </w:hyperlink>
      <w:r w:rsidRPr="00B5288D">
        <w:rPr>
          <w:rFonts w:asciiTheme="minorHAnsi" w:hAnsiTheme="minorHAnsi"/>
          <w:sz w:val="22"/>
          <w:szCs w:val="22"/>
        </w:rPr>
        <w:t xml:space="preserve"> is the only pan-European </w:t>
      </w:r>
      <w:r w:rsidR="00361959">
        <w:rPr>
          <w:rFonts w:asciiTheme="minorHAnsi" w:hAnsiTheme="minorHAnsi"/>
          <w:sz w:val="22"/>
          <w:szCs w:val="22"/>
        </w:rPr>
        <w:t>Human Rights Training Network,</w:t>
      </w:r>
      <w:r w:rsidRPr="00B5288D">
        <w:rPr>
          <w:rFonts w:asciiTheme="minorHAnsi" w:hAnsiTheme="minorHAnsi"/>
          <w:sz w:val="22"/>
          <w:szCs w:val="22"/>
        </w:rPr>
        <w:t xml:space="preserve"> made up of representatives of national training institutions for legal professionals</w:t>
      </w:r>
      <w:r w:rsidR="009D563D">
        <w:rPr>
          <w:rFonts w:asciiTheme="minorHAnsi" w:hAnsiTheme="minorHAnsi"/>
          <w:sz w:val="22"/>
          <w:szCs w:val="22"/>
        </w:rPr>
        <w:t>, as well as Bar associations,</w:t>
      </w:r>
      <w:r w:rsidRPr="00B5288D">
        <w:rPr>
          <w:rFonts w:asciiTheme="minorHAnsi" w:hAnsiTheme="minorHAnsi"/>
          <w:sz w:val="22"/>
          <w:szCs w:val="22"/>
        </w:rPr>
        <w:t xml:space="preserve"> from all 47 member states of the Council of Europe. Other international organisations, as well as some NGOs, are partners of </w:t>
      </w:r>
      <w:r w:rsidRPr="00361959">
        <w:rPr>
          <w:rFonts w:asciiTheme="minorHAnsi" w:hAnsiTheme="minorHAnsi"/>
          <w:sz w:val="22"/>
          <w:szCs w:val="22"/>
        </w:rPr>
        <w:t>the Network, including the main international associati</w:t>
      </w:r>
      <w:r w:rsidR="00C12F64" w:rsidRPr="00361959">
        <w:rPr>
          <w:rFonts w:asciiTheme="minorHAnsi" w:hAnsiTheme="minorHAnsi"/>
          <w:sz w:val="22"/>
          <w:szCs w:val="22"/>
        </w:rPr>
        <w:t>ons of legal professionals</w:t>
      </w:r>
      <w:r w:rsidR="00361959" w:rsidRPr="00361959">
        <w:rPr>
          <w:rFonts w:asciiTheme="minorHAnsi" w:hAnsiTheme="minorHAnsi"/>
          <w:sz w:val="22"/>
          <w:szCs w:val="22"/>
        </w:rPr>
        <w:t xml:space="preserve"> (European Judicial Training Network, the </w:t>
      </w:r>
      <w:r w:rsidR="00361959" w:rsidRPr="00361959">
        <w:rPr>
          <w:sz w:val="22"/>
          <w:szCs w:val="22"/>
        </w:rPr>
        <w:t>Council of Bars and Law Societies of Europe</w:t>
      </w:r>
      <w:r w:rsidR="00361959">
        <w:rPr>
          <w:sz w:val="22"/>
          <w:szCs w:val="22"/>
        </w:rPr>
        <w:t xml:space="preserve"> etc.</w:t>
      </w:r>
      <w:r w:rsidR="00361959" w:rsidRPr="00361959">
        <w:rPr>
          <w:rFonts w:asciiTheme="minorHAnsi" w:hAnsiTheme="minorHAnsi"/>
          <w:sz w:val="22"/>
          <w:szCs w:val="22"/>
        </w:rPr>
        <w:t>)</w:t>
      </w:r>
      <w:r w:rsidR="00C12F64" w:rsidRPr="00361959">
        <w:rPr>
          <w:rFonts w:asciiTheme="minorHAnsi" w:hAnsiTheme="minorHAnsi"/>
          <w:sz w:val="22"/>
          <w:szCs w:val="22"/>
        </w:rPr>
        <w:t>.</w:t>
      </w:r>
      <w:r w:rsidR="00C12F64">
        <w:rPr>
          <w:rFonts w:asciiTheme="minorHAnsi" w:hAnsiTheme="minorHAnsi"/>
          <w:sz w:val="22"/>
          <w:szCs w:val="22"/>
        </w:rPr>
        <w:t xml:space="preserve"> </w:t>
      </w:r>
      <w:r w:rsidRPr="00B5288D">
        <w:rPr>
          <w:rFonts w:asciiTheme="minorHAnsi" w:hAnsiTheme="minorHAnsi"/>
          <w:sz w:val="22"/>
          <w:szCs w:val="22"/>
        </w:rPr>
        <w:t xml:space="preserve"> </w:t>
      </w:r>
    </w:p>
    <w:p w:rsidR="00F300AF" w:rsidRDefault="009D563D" w:rsidP="00B5288D">
      <w:pPr>
        <w:spacing w:before="100" w:beforeAutospacing="1" w:after="100" w:afterAutospacing="1" w:line="240" w:lineRule="auto"/>
        <w:jc w:val="both"/>
        <w:rPr>
          <w:lang w:val="en-GB"/>
        </w:rPr>
      </w:pPr>
      <w:r>
        <w:t xml:space="preserve">The </w:t>
      </w:r>
      <w:hyperlink r:id="rId10" w:history="1">
        <w:r w:rsidRPr="009D563D">
          <w:rPr>
            <w:rStyle w:val="Hyperlink"/>
          </w:rPr>
          <w:t>HELP Annual Network Conferences</w:t>
        </w:r>
      </w:hyperlink>
      <w:r>
        <w:t xml:space="preserve"> </w:t>
      </w:r>
      <w:r w:rsidR="00B5288D" w:rsidRPr="00B5288D">
        <w:t>provide a forum f</w:t>
      </w:r>
      <w:r w:rsidR="00B5288D">
        <w:t xml:space="preserve">or discussions </w:t>
      </w:r>
      <w:r w:rsidR="00C12F64">
        <w:t xml:space="preserve">for the </w:t>
      </w:r>
      <w:r w:rsidR="00D1496E">
        <w:t xml:space="preserve">HELP </w:t>
      </w:r>
      <w:r w:rsidR="00C12F64">
        <w:t xml:space="preserve">Network members and its partners </w:t>
      </w:r>
      <w:r w:rsidR="00B5288D">
        <w:t xml:space="preserve">on </w:t>
      </w:r>
      <w:r w:rsidR="00361959">
        <w:rPr>
          <w:lang w:val="en-GB"/>
        </w:rPr>
        <w:t>how to improve</w:t>
      </w:r>
      <w:r w:rsidR="00B5288D">
        <w:rPr>
          <w:lang w:val="en-GB"/>
        </w:rPr>
        <w:t xml:space="preserve"> human-right training and </w:t>
      </w:r>
      <w:r w:rsidR="00865AA4">
        <w:rPr>
          <w:lang w:val="en-GB"/>
        </w:rPr>
        <w:t>the</w:t>
      </w:r>
      <w:r w:rsidR="00361959">
        <w:rPr>
          <w:lang w:val="en-GB"/>
        </w:rPr>
        <w:t xml:space="preserve"> </w:t>
      </w:r>
      <w:r w:rsidR="00B5288D">
        <w:rPr>
          <w:lang w:val="en-GB"/>
        </w:rPr>
        <w:t>co-operation</w:t>
      </w:r>
      <w:r w:rsidR="00865AA4">
        <w:rPr>
          <w:lang w:val="en-GB"/>
        </w:rPr>
        <w:t xml:space="preserve"> betw</w:t>
      </w:r>
      <w:r w:rsidR="003867EF">
        <w:rPr>
          <w:lang w:val="en-GB"/>
        </w:rPr>
        <w:t xml:space="preserve">een the HELP </w:t>
      </w:r>
      <w:r w:rsidR="00865AA4">
        <w:rPr>
          <w:lang w:val="en-GB"/>
        </w:rPr>
        <w:t>Secretariat</w:t>
      </w:r>
      <w:r w:rsidR="003867EF">
        <w:rPr>
          <w:lang w:val="en-GB"/>
        </w:rPr>
        <w:t xml:space="preserve"> and its partner institutions.</w:t>
      </w:r>
    </w:p>
    <w:p w:rsidR="00151D62" w:rsidRDefault="00151D62" w:rsidP="00B5288D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B5288D">
        <w:rPr>
          <w:lang w:val="en-GB"/>
        </w:rPr>
        <w:t xml:space="preserve">The topic of this year’s Conference is </w:t>
      </w:r>
      <w:r w:rsidRPr="00B5288D">
        <w:rPr>
          <w:b/>
          <w:lang w:val="en-GB"/>
        </w:rPr>
        <w:t>HELP for Friendly Justice</w:t>
      </w:r>
      <w:r w:rsidRPr="00B5288D">
        <w:rPr>
          <w:lang w:val="en-GB"/>
        </w:rPr>
        <w:t>.</w:t>
      </w:r>
    </w:p>
    <w:p w:rsidR="00865AA4" w:rsidRDefault="00865AA4" w:rsidP="00865A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175F9">
        <w:rPr>
          <w:rFonts w:asciiTheme="minorHAnsi" w:hAnsiTheme="minorHAnsi"/>
          <w:color w:val="auto"/>
          <w:sz w:val="22"/>
          <w:szCs w:val="22"/>
        </w:rPr>
        <w:t>The 2017 HELP Network C</w:t>
      </w:r>
      <w:r>
        <w:rPr>
          <w:rFonts w:asciiTheme="minorHAnsi" w:hAnsiTheme="minorHAnsi"/>
          <w:color w:val="auto"/>
          <w:sz w:val="22"/>
          <w:szCs w:val="22"/>
        </w:rPr>
        <w:t xml:space="preserve">onference will aim at: </w:t>
      </w:r>
    </w:p>
    <w:p w:rsidR="00865AA4" w:rsidRPr="003175F9" w:rsidRDefault="00865AA4" w:rsidP="00865A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65AA4" w:rsidRDefault="00865AA4" w:rsidP="00865AA4">
      <w:pPr>
        <w:pStyle w:val="Default"/>
        <w:spacing w:after="83"/>
        <w:jc w:val="both"/>
        <w:rPr>
          <w:rFonts w:asciiTheme="minorHAnsi" w:hAnsiTheme="minorHAnsi"/>
          <w:color w:val="auto"/>
          <w:sz w:val="22"/>
          <w:szCs w:val="22"/>
        </w:rPr>
      </w:pPr>
      <w:r w:rsidRPr="003175F9">
        <w:rPr>
          <w:rFonts w:asciiTheme="minorHAnsi" w:hAnsiTheme="minorHAnsi" w:cs="Cambria"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color w:val="auto"/>
          <w:sz w:val="22"/>
          <w:szCs w:val="22"/>
        </w:rPr>
        <w:t>highlighting the impact of human rights training in delivering human rights-friendly justice and exchanging on</w:t>
      </w:r>
      <w:r w:rsidRPr="003175F9">
        <w:rPr>
          <w:rFonts w:asciiTheme="minorHAnsi" w:hAnsiTheme="minorHAnsi"/>
          <w:color w:val="auto"/>
          <w:sz w:val="22"/>
          <w:szCs w:val="22"/>
        </w:rPr>
        <w:t xml:space="preserve"> the role of </w:t>
      </w:r>
      <w:r>
        <w:rPr>
          <w:rFonts w:asciiTheme="minorHAnsi" w:hAnsiTheme="minorHAnsi"/>
          <w:color w:val="auto"/>
          <w:sz w:val="22"/>
          <w:szCs w:val="22"/>
        </w:rPr>
        <w:t>national training institutions and Bar associations</w:t>
      </w:r>
      <w:r w:rsidRPr="003175F9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in this endeavor</w:t>
      </w:r>
      <w:r w:rsidRPr="003175F9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865AA4" w:rsidRPr="003175F9" w:rsidRDefault="00865AA4" w:rsidP="00865AA4">
      <w:pPr>
        <w:pStyle w:val="Default"/>
        <w:spacing w:after="83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-</w:t>
      </w:r>
      <w:r w:rsidRPr="003175F9">
        <w:rPr>
          <w:rFonts w:asciiTheme="minorHAnsi" w:hAnsiTheme="minorHAnsi"/>
          <w:color w:val="auto"/>
          <w:sz w:val="22"/>
          <w:szCs w:val="22"/>
        </w:rPr>
        <w:t xml:space="preserve"> inform</w:t>
      </w:r>
      <w:r>
        <w:rPr>
          <w:rFonts w:asciiTheme="minorHAnsi" w:hAnsiTheme="minorHAnsi"/>
          <w:color w:val="auto"/>
          <w:sz w:val="22"/>
          <w:szCs w:val="22"/>
        </w:rPr>
        <w:t>ing</w:t>
      </w:r>
      <w:r w:rsidRPr="003175F9">
        <w:rPr>
          <w:rFonts w:asciiTheme="minorHAnsi" w:hAnsiTheme="minorHAnsi"/>
          <w:color w:val="auto"/>
          <w:sz w:val="22"/>
          <w:szCs w:val="22"/>
        </w:rPr>
        <w:t xml:space="preserve"> participants on developments of the jurisprudence of the E</w:t>
      </w:r>
      <w:r>
        <w:rPr>
          <w:rFonts w:asciiTheme="minorHAnsi" w:hAnsiTheme="minorHAnsi"/>
          <w:color w:val="auto"/>
          <w:sz w:val="22"/>
          <w:szCs w:val="22"/>
        </w:rPr>
        <w:t>uropean Court of Human Rights concerning judiciary</w:t>
      </w:r>
      <w:r w:rsidRPr="003175F9">
        <w:rPr>
          <w:rFonts w:asciiTheme="minorHAnsi" w:hAnsiTheme="minorHAnsi"/>
          <w:color w:val="auto"/>
          <w:sz w:val="22"/>
          <w:szCs w:val="22"/>
        </w:rPr>
        <w:t>;</w:t>
      </w:r>
    </w:p>
    <w:p w:rsidR="00865AA4" w:rsidRDefault="00865AA4" w:rsidP="00865AA4">
      <w:pPr>
        <w:pStyle w:val="Default"/>
        <w:spacing w:after="83"/>
        <w:jc w:val="both"/>
        <w:rPr>
          <w:rFonts w:asciiTheme="minorHAnsi" w:hAnsiTheme="minorHAnsi"/>
          <w:sz w:val="22"/>
          <w:szCs w:val="22"/>
        </w:rPr>
      </w:pPr>
      <w:r w:rsidRPr="003175F9">
        <w:rPr>
          <w:rFonts w:asciiTheme="minorHAnsi" w:hAnsiTheme="minorHAnsi" w:cs="Cambria"/>
          <w:color w:val="auto"/>
          <w:sz w:val="22"/>
          <w:szCs w:val="22"/>
        </w:rPr>
        <w:t xml:space="preserve">- </w:t>
      </w:r>
      <w:r w:rsidRPr="003175F9">
        <w:rPr>
          <w:rFonts w:asciiTheme="minorHAnsi" w:hAnsiTheme="minorHAnsi"/>
          <w:color w:val="auto"/>
          <w:sz w:val="22"/>
          <w:szCs w:val="22"/>
        </w:rPr>
        <w:t>discuss</w:t>
      </w:r>
      <w:r>
        <w:rPr>
          <w:rFonts w:asciiTheme="minorHAnsi" w:hAnsiTheme="minorHAnsi"/>
          <w:color w:val="auto"/>
          <w:sz w:val="22"/>
          <w:szCs w:val="22"/>
        </w:rPr>
        <w:t>ing</w:t>
      </w:r>
      <w:r w:rsidRPr="003175F9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</w:t>
      </w:r>
      <w:r w:rsidRPr="003175F9">
        <w:rPr>
          <w:rFonts w:asciiTheme="minorHAnsi" w:hAnsiTheme="minorHAnsi"/>
          <w:sz w:val="22"/>
          <w:szCs w:val="22"/>
        </w:rPr>
        <w:t>he</w:t>
      </w:r>
      <w:r>
        <w:rPr>
          <w:rFonts w:asciiTheme="minorHAnsi" w:hAnsiTheme="minorHAnsi"/>
          <w:sz w:val="22"/>
          <w:szCs w:val="22"/>
        </w:rPr>
        <w:t xml:space="preserve"> application of social rights;</w:t>
      </w:r>
    </w:p>
    <w:p w:rsidR="00865AA4" w:rsidRDefault="00865AA4" w:rsidP="00865AA4">
      <w:pPr>
        <w:pStyle w:val="Default"/>
        <w:spacing w:after="83"/>
        <w:jc w:val="both"/>
        <w:rPr>
          <w:rFonts w:asciiTheme="minorHAnsi" w:hAnsiTheme="minorHAnsi" w:cs="Times New Roman"/>
          <w:sz w:val="22"/>
          <w:szCs w:val="22"/>
        </w:rPr>
      </w:pPr>
      <w:r w:rsidRPr="002A5AF6">
        <w:rPr>
          <w:rFonts w:asciiTheme="minorHAnsi" w:hAnsiTheme="minorHAnsi"/>
          <w:sz w:val="22"/>
          <w:szCs w:val="22"/>
        </w:rPr>
        <w:t>- present</w:t>
      </w:r>
      <w:r>
        <w:rPr>
          <w:rFonts w:asciiTheme="minorHAnsi" w:hAnsiTheme="minorHAnsi"/>
          <w:sz w:val="22"/>
          <w:szCs w:val="22"/>
        </w:rPr>
        <w:t xml:space="preserve">ing the </w:t>
      </w:r>
      <w:r w:rsidRPr="002A5AF6">
        <w:rPr>
          <w:rFonts w:asciiTheme="minorHAnsi" w:hAnsiTheme="minorHAnsi"/>
          <w:sz w:val="22"/>
          <w:szCs w:val="22"/>
        </w:rPr>
        <w:t xml:space="preserve">HELP courses on Child-friendly justice, </w:t>
      </w:r>
      <w:r w:rsidRPr="002A5AF6">
        <w:rPr>
          <w:rFonts w:asciiTheme="minorHAnsi" w:hAnsiTheme="minorHAnsi" w:cs="Times New Roman"/>
          <w:sz w:val="22"/>
          <w:szCs w:val="22"/>
        </w:rPr>
        <w:t xml:space="preserve">Fight against Racism, Xenophobia, Homophobia and </w:t>
      </w:r>
      <w:proofErr w:type="spellStart"/>
      <w:r w:rsidRPr="002A5AF6">
        <w:rPr>
          <w:rFonts w:asciiTheme="minorHAnsi" w:hAnsiTheme="minorHAnsi" w:cs="Times New Roman"/>
          <w:sz w:val="22"/>
          <w:szCs w:val="22"/>
        </w:rPr>
        <w:t>Transphobia</w:t>
      </w:r>
      <w:proofErr w:type="spellEnd"/>
      <w:r w:rsidRPr="002A5AF6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2A5AF6">
        <w:rPr>
          <w:rFonts w:asciiTheme="minorHAnsi" w:hAnsiTheme="minorHAnsi" w:cs="Times New Roman"/>
          <w:sz w:val="22"/>
          <w:szCs w:val="22"/>
        </w:rPr>
        <w:t>Labour</w:t>
      </w:r>
      <w:proofErr w:type="spellEnd"/>
      <w:r w:rsidRPr="002A5AF6">
        <w:rPr>
          <w:rFonts w:asciiTheme="minorHAnsi" w:hAnsiTheme="minorHAnsi" w:cs="Times New Roman"/>
          <w:sz w:val="22"/>
          <w:szCs w:val="22"/>
        </w:rPr>
        <w:t xml:space="preserve"> Rights and Violence Against Women</w:t>
      </w:r>
      <w:r>
        <w:rPr>
          <w:rFonts w:asciiTheme="minorHAnsi" w:hAnsiTheme="minorHAnsi" w:cs="Times New Roman"/>
          <w:sz w:val="22"/>
          <w:szCs w:val="22"/>
        </w:rPr>
        <w:t>, as well as the new HELP e-learning platform; and</w:t>
      </w:r>
    </w:p>
    <w:p w:rsidR="00865AA4" w:rsidRPr="004320D2" w:rsidRDefault="00865AA4" w:rsidP="00865AA4">
      <w:pPr>
        <w:pStyle w:val="Default"/>
        <w:spacing w:after="83"/>
        <w:jc w:val="both"/>
        <w:rPr>
          <w:rFonts w:asciiTheme="minorHAnsi" w:hAnsiTheme="minorHAnsi" w:cs="Times New Roman"/>
          <w:sz w:val="22"/>
          <w:szCs w:val="22"/>
        </w:rPr>
      </w:pPr>
      <w:r w:rsidRPr="003175F9">
        <w:rPr>
          <w:rFonts w:asciiTheme="minorHAnsi" w:hAnsiTheme="minorHAnsi" w:cs="Cambria"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color w:val="auto"/>
          <w:sz w:val="22"/>
          <w:szCs w:val="22"/>
        </w:rPr>
        <w:t>exploring the possibilities for cross-border human rights training.</w:t>
      </w:r>
    </w:p>
    <w:p w:rsidR="00CB2EAC" w:rsidRPr="00B5288D" w:rsidRDefault="00CB2EAC" w:rsidP="00B5288D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B5288D">
        <w:rPr>
          <w:lang w:val="en-GB"/>
        </w:rPr>
        <w:t xml:space="preserve">On the second day of the Conference, the participants will have the possibility to participate in two </w:t>
      </w:r>
      <w:r w:rsidRPr="00B5288D">
        <w:rPr>
          <w:b/>
          <w:lang w:val="en-GB"/>
        </w:rPr>
        <w:t>Workshops</w:t>
      </w:r>
      <w:r w:rsidRPr="00B5288D">
        <w:rPr>
          <w:lang w:val="en-GB"/>
        </w:rPr>
        <w:t xml:space="preserve"> on the State of Citizenship and Human Rights Education in Higher Education and Lifelong learning, respectively, organized jointly with the Conference “</w:t>
      </w:r>
      <w:hyperlink r:id="rId11" w:history="1">
        <w:r w:rsidRPr="00B5288D">
          <w:rPr>
            <w:rStyle w:val="Hyperlink"/>
            <w:lang w:val="en-GB"/>
          </w:rPr>
          <w:t>Learning to Live Together: a Shared Commitment to Democracy</w:t>
        </w:r>
      </w:hyperlink>
      <w:r w:rsidRPr="00B5288D">
        <w:rPr>
          <w:lang w:val="en-GB"/>
        </w:rPr>
        <w:t>”.</w:t>
      </w:r>
    </w:p>
    <w:p w:rsidR="007A340B" w:rsidRPr="00B5288D" w:rsidRDefault="007A340B" w:rsidP="00B5288D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B5288D">
        <w:rPr>
          <w:lang w:val="en-GB"/>
        </w:rPr>
        <w:t>The working languages of the conference will be English, French and Russian.</w:t>
      </w:r>
    </w:p>
    <w:p w:rsidR="00CA2020" w:rsidRDefault="00CA2020" w:rsidP="00B5288D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B5288D">
        <w:rPr>
          <w:lang w:val="en-GB"/>
        </w:rPr>
        <w:t xml:space="preserve">More information on the past HELP Annual Network Conferences is available </w:t>
      </w:r>
      <w:hyperlink r:id="rId12" w:history="1">
        <w:r w:rsidRPr="00B5288D">
          <w:rPr>
            <w:rStyle w:val="Hyperlink"/>
            <w:lang w:val="en-GB"/>
          </w:rPr>
          <w:t>here</w:t>
        </w:r>
      </w:hyperlink>
      <w:r w:rsidRPr="00B5288D">
        <w:rPr>
          <w:lang w:val="en-GB"/>
        </w:rPr>
        <w:t xml:space="preserve">. </w:t>
      </w:r>
      <w:r w:rsidR="007A340B" w:rsidRPr="00B5288D">
        <w:rPr>
          <w:lang w:val="en-GB"/>
        </w:rPr>
        <w:t xml:space="preserve">You can read the Final Report on the 2016 HELP Network Conference </w:t>
      </w:r>
      <w:hyperlink r:id="rId13" w:history="1">
        <w:r w:rsidR="007A340B" w:rsidRPr="00B5288D">
          <w:rPr>
            <w:rStyle w:val="Hyperlink"/>
            <w:lang w:val="en-GB"/>
          </w:rPr>
          <w:t>here</w:t>
        </w:r>
      </w:hyperlink>
      <w:r w:rsidR="007A340B" w:rsidRPr="00B5288D">
        <w:rPr>
          <w:lang w:val="en-GB"/>
        </w:rPr>
        <w:t xml:space="preserve">. </w:t>
      </w:r>
    </w:p>
    <w:p w:rsidR="00040849" w:rsidRPr="00B5288D" w:rsidRDefault="00040849" w:rsidP="00B5288D">
      <w:pPr>
        <w:spacing w:before="100" w:beforeAutospacing="1" w:after="100" w:afterAutospacing="1" w:line="240" w:lineRule="auto"/>
        <w:jc w:val="both"/>
        <w:rPr>
          <w:lang w:val="en-GB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6025662" cy="402966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257_0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662" cy="402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849" w:rsidRPr="00B52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9E8"/>
    <w:multiLevelType w:val="hybridMultilevel"/>
    <w:tmpl w:val="F4D2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20"/>
    <w:rsid w:val="00040849"/>
    <w:rsid w:val="00076981"/>
    <w:rsid w:val="00115454"/>
    <w:rsid w:val="00151D62"/>
    <w:rsid w:val="00200717"/>
    <w:rsid w:val="00333457"/>
    <w:rsid w:val="00361959"/>
    <w:rsid w:val="003867EF"/>
    <w:rsid w:val="0039456D"/>
    <w:rsid w:val="004C5788"/>
    <w:rsid w:val="004E31F0"/>
    <w:rsid w:val="007A340B"/>
    <w:rsid w:val="007E11D5"/>
    <w:rsid w:val="00865AA4"/>
    <w:rsid w:val="009D563D"/>
    <w:rsid w:val="00B5288D"/>
    <w:rsid w:val="00C12F64"/>
    <w:rsid w:val="00C75586"/>
    <w:rsid w:val="00CA2020"/>
    <w:rsid w:val="00CB2EAC"/>
    <w:rsid w:val="00CF651D"/>
    <w:rsid w:val="00D1496E"/>
    <w:rsid w:val="00D53F5C"/>
    <w:rsid w:val="00D9638A"/>
    <w:rsid w:val="00DC2735"/>
    <w:rsid w:val="00E17213"/>
    <w:rsid w:val="00F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0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1D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15454"/>
    <w:rPr>
      <w:b/>
      <w:bCs/>
    </w:rPr>
  </w:style>
  <w:style w:type="paragraph" w:customStyle="1" w:styleId="Default">
    <w:name w:val="Default"/>
    <w:rsid w:val="00B52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0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1D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15454"/>
    <w:rPr>
      <w:b/>
      <w:bCs/>
    </w:rPr>
  </w:style>
  <w:style w:type="paragraph" w:customStyle="1" w:styleId="Default">
    <w:name w:val="Default"/>
    <w:rsid w:val="00B52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5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elearning.ext.coe.int/" TargetMode="External"/><Relationship Id="rId13" Type="http://schemas.openxmlformats.org/officeDocument/2006/relationships/hyperlink" Target="http://www.coe.int/en/web/help/2016-network-conference-repo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e.int/en/web/help/home" TargetMode="External"/><Relationship Id="rId12" Type="http://schemas.openxmlformats.org/officeDocument/2006/relationships/hyperlink" Target="http://www.coe.int/en/web/help/help-network-confere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e.int/en/web/edc/confer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e.int/en/web/help/help-network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e.int/en/web/help/help-network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MEDARSKA-LAZOVA Ana</dc:creator>
  <cp:lastModifiedBy>LARSEN Kim-Andreas</cp:lastModifiedBy>
  <cp:revision>2</cp:revision>
  <dcterms:created xsi:type="dcterms:W3CDTF">2017-06-12T14:27:00Z</dcterms:created>
  <dcterms:modified xsi:type="dcterms:W3CDTF">2017-06-12T14:27:00Z</dcterms:modified>
</cp:coreProperties>
</file>